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5224" w:rsidRPr="00FB23A4" w:rsidRDefault="00A55224" w:rsidP="00A55224">
      <w:pPr>
        <w:spacing w:line="480" w:lineRule="auto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  <w:lang w:val="en-US"/>
        </w:rPr>
      </w:pPr>
      <w:r w:rsidRPr="00FB23A4">
        <w:rPr>
          <w:rFonts w:ascii="Times New Roman" w:hAnsi="Times New Roman" w:cs="Times New Roman"/>
          <w:b/>
          <w:bCs/>
          <w:sz w:val="32"/>
          <w:szCs w:val="32"/>
          <w:lang w:val="en-US"/>
        </w:rPr>
        <w:t>Sinonasal cancer in Denmark 2008–2015:</w:t>
      </w:r>
    </w:p>
    <w:p w:rsidR="00A55224" w:rsidRPr="00FB23A4" w:rsidRDefault="00A55224" w:rsidP="00A55224">
      <w:pPr>
        <w:spacing w:line="48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en-US"/>
        </w:rPr>
      </w:pPr>
      <w:r w:rsidRPr="00FB23A4"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 A population-based </w:t>
      </w:r>
      <w:r>
        <w:rPr>
          <w:rFonts w:ascii="Times New Roman" w:hAnsi="Times New Roman" w:cs="Times New Roman"/>
          <w:b/>
          <w:bCs/>
          <w:sz w:val="32"/>
          <w:szCs w:val="32"/>
          <w:lang w:val="en-US"/>
        </w:rPr>
        <w:t>phase</w:t>
      </w:r>
      <w:r w:rsidR="000307DC">
        <w:rPr>
          <w:rFonts w:ascii="Times New Roman" w:hAnsi="Times New Roman" w:cs="Times New Roman"/>
          <w:b/>
          <w:bCs/>
          <w:sz w:val="32"/>
          <w:szCs w:val="32"/>
          <w:lang w:val="en-US"/>
        </w:rPr>
        <w:t>-</w:t>
      </w:r>
      <w:r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4 </w:t>
      </w:r>
      <w:r w:rsidRPr="00FB23A4">
        <w:rPr>
          <w:rFonts w:ascii="Times New Roman" w:hAnsi="Times New Roman" w:cs="Times New Roman"/>
          <w:b/>
          <w:bCs/>
          <w:sz w:val="32"/>
          <w:szCs w:val="32"/>
          <w:lang w:val="en-US"/>
        </w:rPr>
        <w:t>cohort study from D</w:t>
      </w:r>
      <w:r>
        <w:rPr>
          <w:rFonts w:ascii="Times New Roman" w:hAnsi="Times New Roman" w:cs="Times New Roman"/>
          <w:b/>
          <w:bCs/>
          <w:sz w:val="32"/>
          <w:szCs w:val="32"/>
          <w:lang w:val="en-US"/>
        </w:rPr>
        <w:t>A</w:t>
      </w:r>
      <w:r w:rsidRPr="00FB23A4">
        <w:rPr>
          <w:rFonts w:ascii="Times New Roman" w:hAnsi="Times New Roman" w:cs="Times New Roman"/>
          <w:b/>
          <w:bCs/>
          <w:sz w:val="32"/>
          <w:szCs w:val="32"/>
          <w:lang w:val="en-US"/>
        </w:rPr>
        <w:t>H</w:t>
      </w:r>
      <w:r>
        <w:rPr>
          <w:rFonts w:ascii="Times New Roman" w:hAnsi="Times New Roman" w:cs="Times New Roman"/>
          <w:b/>
          <w:bCs/>
          <w:sz w:val="32"/>
          <w:szCs w:val="32"/>
          <w:lang w:val="en-US"/>
        </w:rPr>
        <w:t>ANCA</w:t>
      </w:r>
    </w:p>
    <w:p w:rsidR="00A55224" w:rsidRDefault="00A55224" w:rsidP="00A55224">
      <w:pPr>
        <w:rPr>
          <w:rFonts w:asciiTheme="majorBidi" w:hAnsiTheme="majorBidi" w:cstheme="majorBidi"/>
          <w:b/>
          <w:bCs/>
          <w:lang w:val="en-US"/>
        </w:rPr>
      </w:pPr>
    </w:p>
    <w:p w:rsidR="00A55224" w:rsidRDefault="00A55224" w:rsidP="00A55224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65510C">
        <w:rPr>
          <w:rFonts w:asciiTheme="majorBidi" w:hAnsiTheme="majorBidi" w:cstheme="majorBidi"/>
          <w:b/>
          <w:bCs/>
          <w:sz w:val="28"/>
          <w:szCs w:val="28"/>
          <w:lang w:val="en-US"/>
        </w:rPr>
        <w:t>SUPPLEMENTARY MATERIAL</w:t>
      </w:r>
    </w:p>
    <w:p w:rsidR="007F7B50" w:rsidRDefault="007F7B50" w:rsidP="00A55224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7F7B50" w:rsidRDefault="007F7B50" w:rsidP="007F7B50">
      <w:pPr>
        <w:spacing w:line="480" w:lineRule="auto"/>
        <w:outlineLvl w:val="0"/>
        <w:rPr>
          <w:rFonts w:ascii="Times New Roman" w:hAnsi="Times New Roman" w:cs="Times New Roman"/>
          <w:b/>
          <w:bCs/>
          <w:lang w:val="en-US"/>
        </w:rPr>
      </w:pPr>
    </w:p>
    <w:p w:rsidR="007F7B50" w:rsidRPr="00FB23A4" w:rsidRDefault="007F7B50" w:rsidP="007F7B50">
      <w:pPr>
        <w:spacing w:line="480" w:lineRule="auto"/>
        <w:outlineLvl w:val="0"/>
        <w:rPr>
          <w:rFonts w:ascii="Times New Roman" w:hAnsi="Times New Roman" w:cs="Times New Roman"/>
          <w:b/>
          <w:bCs/>
          <w:lang w:val="en-US"/>
        </w:rPr>
      </w:pPr>
      <w:r w:rsidRPr="00FB23A4">
        <w:rPr>
          <w:rFonts w:ascii="Times New Roman" w:hAnsi="Times New Roman" w:cs="Times New Roman"/>
          <w:b/>
          <w:bCs/>
          <w:lang w:val="en-US"/>
        </w:rPr>
        <w:t>FIGURE LEGENDS</w:t>
      </w:r>
    </w:p>
    <w:p w:rsidR="007F7B50" w:rsidRDefault="007F7B50" w:rsidP="007F7B50">
      <w:pPr>
        <w:spacing w:line="480" w:lineRule="auto"/>
        <w:rPr>
          <w:rFonts w:ascii="Times New Roman" w:hAnsi="Times New Roman" w:cs="Times New Roman"/>
          <w:b/>
          <w:bCs/>
          <w:lang w:val="en-US"/>
        </w:rPr>
      </w:pPr>
    </w:p>
    <w:p w:rsidR="007F7B50" w:rsidRDefault="007F7B50" w:rsidP="007F7B50">
      <w:pPr>
        <w:spacing w:line="48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t xml:space="preserve">SUPPLEMENTARY </w:t>
      </w:r>
      <w:r w:rsidRPr="00FB23A4">
        <w:rPr>
          <w:rFonts w:ascii="Times New Roman" w:hAnsi="Times New Roman" w:cs="Times New Roman"/>
          <w:b/>
          <w:bCs/>
          <w:lang w:val="en-US"/>
        </w:rPr>
        <w:t>FIG</w:t>
      </w:r>
      <w:r>
        <w:rPr>
          <w:rFonts w:ascii="Times New Roman" w:hAnsi="Times New Roman" w:cs="Times New Roman"/>
          <w:b/>
          <w:bCs/>
          <w:lang w:val="en-US"/>
        </w:rPr>
        <w:t xml:space="preserve">URE 1 </w:t>
      </w:r>
      <w:r>
        <w:rPr>
          <w:rFonts w:ascii="Times New Roman" w:hAnsi="Times New Roman" w:cs="Times New Roman"/>
          <w:lang w:val="en-US"/>
        </w:rPr>
        <w:t>-</w:t>
      </w:r>
      <w:r w:rsidRPr="00FB23A4">
        <w:rPr>
          <w:rFonts w:ascii="Times New Roman" w:hAnsi="Times New Roman" w:cs="Times New Roman"/>
          <w:b/>
          <w:bCs/>
          <w:lang w:val="en-US"/>
        </w:rPr>
        <w:t xml:space="preserve"> </w:t>
      </w:r>
      <w:r w:rsidRPr="00FB23A4">
        <w:rPr>
          <w:rFonts w:ascii="Times New Roman" w:hAnsi="Times New Roman" w:cs="Times New Roman"/>
          <w:lang w:val="en-US"/>
        </w:rPr>
        <w:t xml:space="preserve">Estimates of overall survival in patients treated </w:t>
      </w:r>
      <w:r w:rsidR="00894BE3">
        <w:rPr>
          <w:rFonts w:ascii="Times New Roman" w:hAnsi="Times New Roman" w:cs="Times New Roman"/>
          <w:lang w:val="en-US"/>
        </w:rPr>
        <w:t xml:space="preserve">according to </w:t>
      </w:r>
      <w:r>
        <w:rPr>
          <w:rFonts w:ascii="Times New Roman" w:hAnsi="Times New Roman" w:cs="Times New Roman"/>
          <w:lang w:val="en-US"/>
        </w:rPr>
        <w:t>guidelines</w:t>
      </w:r>
      <w:r w:rsidR="00894BE3">
        <w:rPr>
          <w:rFonts w:ascii="Times New Roman" w:hAnsi="Times New Roman" w:cs="Times New Roman"/>
          <w:lang w:val="en-US"/>
        </w:rPr>
        <w:t xml:space="preserve"> or not treated according to guidelines</w:t>
      </w:r>
      <w:r>
        <w:rPr>
          <w:rFonts w:ascii="Times New Roman" w:hAnsi="Times New Roman" w:cs="Times New Roman"/>
          <w:lang w:val="en-US"/>
        </w:rPr>
        <w:t xml:space="preserve"> (A) and </w:t>
      </w:r>
      <w:r w:rsidRPr="00FB23A4">
        <w:rPr>
          <w:rFonts w:ascii="Times New Roman" w:hAnsi="Times New Roman" w:cs="Times New Roman"/>
          <w:lang w:val="en-US"/>
        </w:rPr>
        <w:t>competing risk</w:t>
      </w:r>
      <w:r w:rsidR="00894BE3">
        <w:rPr>
          <w:rFonts w:ascii="Times New Roman" w:hAnsi="Times New Roman" w:cs="Times New Roman"/>
          <w:lang w:val="en-US"/>
        </w:rPr>
        <w:t>-</w:t>
      </w:r>
      <w:r w:rsidRPr="00FB23A4">
        <w:rPr>
          <w:rFonts w:ascii="Times New Roman" w:hAnsi="Times New Roman" w:cs="Times New Roman"/>
          <w:lang w:val="en-US"/>
        </w:rPr>
        <w:t>corrected cumulative incidence estimates of locoregional failure</w:t>
      </w:r>
      <w:r>
        <w:rPr>
          <w:rFonts w:ascii="Times New Roman" w:hAnsi="Times New Roman" w:cs="Times New Roman"/>
          <w:lang w:val="en-US"/>
        </w:rPr>
        <w:t xml:space="preserve"> </w:t>
      </w:r>
      <w:r w:rsidRPr="00FB23A4">
        <w:rPr>
          <w:rFonts w:ascii="Times New Roman" w:hAnsi="Times New Roman" w:cs="Times New Roman"/>
          <w:lang w:val="en-US"/>
        </w:rPr>
        <w:t>by tumo</w:t>
      </w:r>
      <w:r w:rsidR="00894BE3">
        <w:rPr>
          <w:rFonts w:ascii="Times New Roman" w:hAnsi="Times New Roman" w:cs="Times New Roman"/>
          <w:lang w:val="en-US"/>
        </w:rPr>
        <w:t>u</w:t>
      </w:r>
      <w:r w:rsidRPr="00FB23A4">
        <w:rPr>
          <w:rFonts w:ascii="Times New Roman" w:hAnsi="Times New Roman" w:cs="Times New Roman"/>
          <w:lang w:val="en-US"/>
        </w:rPr>
        <w:t>r site</w:t>
      </w:r>
      <w:r>
        <w:rPr>
          <w:rFonts w:ascii="Times New Roman" w:hAnsi="Times New Roman" w:cs="Times New Roman"/>
          <w:lang w:val="en-US"/>
        </w:rPr>
        <w:t xml:space="preserve"> (B).</w:t>
      </w:r>
      <w:r w:rsidRPr="00FB23A4">
        <w:rPr>
          <w:rFonts w:ascii="Times New Roman" w:hAnsi="Times New Roman" w:cs="Times New Roman"/>
          <w:lang w:val="en-US"/>
        </w:rPr>
        <w:t xml:space="preserve"> </w:t>
      </w:r>
    </w:p>
    <w:p w:rsidR="007F7B50" w:rsidRDefault="007F7B50" w:rsidP="007F7B50">
      <w:pPr>
        <w:spacing w:line="480" w:lineRule="auto"/>
        <w:rPr>
          <w:rFonts w:ascii="Times New Roman" w:hAnsi="Times New Roman" w:cs="Times New Roman"/>
          <w:b/>
          <w:bCs/>
          <w:lang w:val="en-US"/>
        </w:rPr>
      </w:pPr>
    </w:p>
    <w:p w:rsidR="007F7B50" w:rsidRPr="00FB23A4" w:rsidRDefault="007F7B50" w:rsidP="007F7B50">
      <w:pPr>
        <w:spacing w:line="48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t xml:space="preserve">SUPPLEMENTARY FIGURE 2 </w:t>
      </w:r>
      <w:r>
        <w:rPr>
          <w:rFonts w:ascii="Times New Roman" w:hAnsi="Times New Roman" w:cs="Times New Roman"/>
          <w:lang w:val="en-US"/>
        </w:rPr>
        <w:t>-</w:t>
      </w:r>
      <w:r w:rsidRPr="00FB23A4">
        <w:rPr>
          <w:rFonts w:ascii="Times New Roman" w:hAnsi="Times New Roman" w:cs="Times New Roman"/>
          <w:b/>
          <w:bCs/>
          <w:lang w:val="en-US"/>
        </w:rPr>
        <w:t xml:space="preserve"> </w:t>
      </w:r>
      <w:r w:rsidRPr="00FB23A4">
        <w:rPr>
          <w:rFonts w:ascii="Times New Roman" w:hAnsi="Times New Roman" w:cs="Times New Roman"/>
          <w:lang w:val="en-US"/>
        </w:rPr>
        <w:t>Failure pattern for 1</w:t>
      </w:r>
      <w:r>
        <w:rPr>
          <w:rFonts w:ascii="Times New Roman" w:hAnsi="Times New Roman" w:cs="Times New Roman"/>
          <w:lang w:val="en-US"/>
        </w:rPr>
        <w:t>09</w:t>
      </w:r>
      <w:r w:rsidRPr="00FB23A4">
        <w:rPr>
          <w:rFonts w:ascii="Times New Roman" w:hAnsi="Times New Roman" w:cs="Times New Roman"/>
          <w:lang w:val="en-US"/>
        </w:rPr>
        <w:t xml:space="preserve"> failures in 26</w:t>
      </w:r>
      <w:r>
        <w:rPr>
          <w:rFonts w:ascii="Times New Roman" w:hAnsi="Times New Roman" w:cs="Times New Roman"/>
          <w:lang w:val="en-US"/>
        </w:rPr>
        <w:t>4</w:t>
      </w:r>
      <w:r w:rsidRPr="00FB23A4">
        <w:rPr>
          <w:rFonts w:ascii="Times New Roman" w:hAnsi="Times New Roman" w:cs="Times New Roman"/>
          <w:lang w:val="en-US"/>
        </w:rPr>
        <w:t xml:space="preserve"> patients treated with curative intent.</w:t>
      </w:r>
    </w:p>
    <w:p w:rsidR="007F7B50" w:rsidRPr="007F7B50" w:rsidRDefault="007F7B50" w:rsidP="007F7B50">
      <w:pPr>
        <w:spacing w:line="480" w:lineRule="auto"/>
        <w:rPr>
          <w:rFonts w:ascii="Times New Roman" w:hAnsi="Times New Roman" w:cs="Times New Roman"/>
          <w:lang w:val="en-US"/>
        </w:rPr>
      </w:pPr>
      <w:r w:rsidRPr="00FB23A4">
        <w:rPr>
          <w:rFonts w:ascii="Times New Roman" w:hAnsi="Times New Roman" w:cs="Times New Roman"/>
          <w:lang w:val="en-US"/>
        </w:rPr>
        <w:t>T-site, N-site and M-site refer to the failure including the primary tumo</w:t>
      </w:r>
      <w:r w:rsidR="006217B1">
        <w:rPr>
          <w:rFonts w:ascii="Times New Roman" w:hAnsi="Times New Roman" w:cs="Times New Roman"/>
          <w:lang w:val="en-US"/>
        </w:rPr>
        <w:t>u</w:t>
      </w:r>
      <w:r w:rsidRPr="00FB23A4">
        <w:rPr>
          <w:rFonts w:ascii="Times New Roman" w:hAnsi="Times New Roman" w:cs="Times New Roman"/>
          <w:lang w:val="en-US"/>
        </w:rPr>
        <w:t xml:space="preserve">r site, regional lymph nodes and/or distant metastasis, respectively. Percentages presented under the site are the proportion of all failures in a given site. </w:t>
      </w:r>
    </w:p>
    <w:p w:rsidR="00A55224" w:rsidRDefault="00A55224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7F7B50" w:rsidRDefault="007F7B50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7F7B50" w:rsidRDefault="007F7B50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7F7B50" w:rsidRDefault="007F7B50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7F7B50" w:rsidRDefault="007F7B50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7F7B50" w:rsidRDefault="007F7B50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7F7B50" w:rsidRDefault="007F7B50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7F7B50" w:rsidRDefault="007F7B50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7F7B50" w:rsidRDefault="007F7B50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7F7B50" w:rsidRDefault="007F7B50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7F7B50" w:rsidRDefault="007F7B50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7F7B50" w:rsidRDefault="007F7B50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7F7B50" w:rsidRDefault="007F7B50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7F7B50" w:rsidRPr="00A55224" w:rsidRDefault="007F7B50">
      <w:pPr>
        <w:rPr>
          <w:lang w:val="en-US"/>
        </w:rPr>
      </w:pPr>
    </w:p>
    <w:tbl>
      <w:tblPr>
        <w:tblW w:w="963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2"/>
        <w:gridCol w:w="1240"/>
        <w:gridCol w:w="1240"/>
        <w:gridCol w:w="1240"/>
        <w:gridCol w:w="1240"/>
        <w:gridCol w:w="1240"/>
        <w:gridCol w:w="1240"/>
      </w:tblGrid>
      <w:tr w:rsidR="006B2578" w:rsidRPr="006B2578" w:rsidTr="006B2578">
        <w:trPr>
          <w:trHeight w:val="220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da-D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da-DK"/>
              </w:rPr>
              <w:t>Supplementary T</w:t>
            </w:r>
            <w:r w:rsidRPr="006B257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da-DK"/>
              </w:rPr>
              <w:t xml:space="preserve">able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da-DK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</w:tr>
      <w:tr w:rsidR="006B2578" w:rsidRPr="00C770DC" w:rsidTr="006B2578">
        <w:trPr>
          <w:trHeight w:val="220"/>
        </w:trPr>
        <w:tc>
          <w:tcPr>
            <w:tcW w:w="96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C770DC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 w:eastAsia="da-DK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 w:eastAsia="da-DK"/>
              </w:rPr>
              <w:t>Ultimate locoregional failure</w:t>
            </w:r>
            <w:r w:rsidR="006B2578"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 w:eastAsia="da-DK"/>
              </w:rPr>
              <w:t xml:space="preserve"> in patients treated with curative intent. Hazard ratios (HR) from uni-and multivariate Cox regression.</w:t>
            </w:r>
          </w:p>
        </w:tc>
      </w:tr>
      <w:tr w:rsidR="006B2578" w:rsidRPr="006B2578" w:rsidTr="006B2578">
        <w:trPr>
          <w:trHeight w:val="220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 w:eastAsia="da-DK"/>
              </w:rPr>
              <w:t> </w:t>
            </w:r>
          </w:p>
        </w:tc>
        <w:tc>
          <w:tcPr>
            <w:tcW w:w="74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da-DK"/>
              </w:rPr>
              <w:t>Ultimate locoregional failure</w:t>
            </w:r>
          </w:p>
        </w:tc>
      </w:tr>
      <w:tr w:rsidR="006B2578" w:rsidRPr="006B2578" w:rsidTr="006B2578">
        <w:trPr>
          <w:trHeight w:val="220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da-DK"/>
              </w:rPr>
              <w:t>Univariate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da-DK"/>
              </w:rPr>
              <w:t>Multivariate</w:t>
            </w:r>
          </w:p>
        </w:tc>
      </w:tr>
      <w:tr w:rsidR="006B2578" w:rsidRPr="006B2578" w:rsidTr="006B2578">
        <w:trPr>
          <w:trHeight w:val="220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n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events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HR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(95% CI)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HR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(95% CI)</w:t>
            </w:r>
          </w:p>
        </w:tc>
      </w:tr>
      <w:tr w:rsidR="006B2578" w:rsidRPr="006B2578" w:rsidTr="006B2578">
        <w:trPr>
          <w:trHeight w:val="220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da-DK"/>
              </w:rPr>
              <w:t>All patients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264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68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</w:tr>
      <w:tr w:rsidR="006B2578" w:rsidRPr="006B2578" w:rsidTr="006B2578">
        <w:trPr>
          <w:trHeight w:val="220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da-DK"/>
              </w:rPr>
              <w:t>Age</w:t>
            </w:r>
            <w:bookmarkStart w:id="0" w:name="_GoBack"/>
            <w:bookmarkEnd w:id="0"/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</w:tr>
      <w:tr w:rsidR="006B2578" w:rsidRPr="006B2578" w:rsidTr="006B2578">
        <w:trPr>
          <w:trHeight w:val="220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0-65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150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34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1 (ref.)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</w:tr>
      <w:tr w:rsidR="006B2578" w:rsidRPr="006B2578" w:rsidTr="006B2578">
        <w:trPr>
          <w:trHeight w:val="220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65+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114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34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1.4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(0.85-2.2)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</w:tr>
      <w:tr w:rsidR="006B2578" w:rsidRPr="006B2578" w:rsidTr="006B2578">
        <w:trPr>
          <w:trHeight w:val="220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da-DK"/>
              </w:rPr>
              <w:t>Gender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</w:tr>
      <w:tr w:rsidR="006B2578" w:rsidRPr="006B2578" w:rsidTr="006B2578">
        <w:trPr>
          <w:trHeight w:val="220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Male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170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47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1 (ref.)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324E60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1 (ref.)</w:t>
            </w:r>
            <w:r w:rsidR="006B2578"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</w:tr>
      <w:tr w:rsidR="006B2578" w:rsidRPr="006B2578" w:rsidTr="006B2578">
        <w:trPr>
          <w:trHeight w:val="220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Female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94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21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0.74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(0.44-1.2)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  <w:r w:rsidR="00324E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0.74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324E60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(0.43-1.3)</w:t>
            </w:r>
            <w:r w:rsidR="006B2578"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</w:tr>
      <w:tr w:rsidR="006B2578" w:rsidRPr="006B2578" w:rsidTr="006B2578">
        <w:trPr>
          <w:trHeight w:val="220"/>
        </w:trPr>
        <w:tc>
          <w:tcPr>
            <w:tcW w:w="3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da-DK"/>
              </w:rPr>
              <w:t>T classification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</w:tr>
      <w:tr w:rsidR="006B2578" w:rsidRPr="006B2578" w:rsidTr="006B2578">
        <w:trPr>
          <w:trHeight w:val="220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T1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56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1 (ref.)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</w:tr>
      <w:tr w:rsidR="006B2578" w:rsidRPr="006B2578" w:rsidTr="006B2578">
        <w:trPr>
          <w:trHeight w:val="220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T2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44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2.2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(0.72-6.8)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</w:tr>
      <w:tr w:rsidR="006B2578" w:rsidRPr="006B2578" w:rsidTr="006B2578">
        <w:trPr>
          <w:trHeight w:val="220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T3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36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12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A96BCC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A96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4.8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A96BCC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A96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(1.7-14)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</w:tr>
      <w:tr w:rsidR="006B2578" w:rsidRPr="006B2578" w:rsidTr="006B2578">
        <w:trPr>
          <w:trHeight w:val="220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T4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126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43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A96BCC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A96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4.7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A96BCC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A96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(1.9-12)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</w:tr>
      <w:tr w:rsidR="006B2578" w:rsidRPr="006B2578" w:rsidTr="006B2578">
        <w:trPr>
          <w:trHeight w:val="220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TX / N.E.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</w:tr>
      <w:tr w:rsidR="006B2578" w:rsidRPr="006B2578" w:rsidTr="006B2578">
        <w:trPr>
          <w:trHeight w:val="220"/>
        </w:trPr>
        <w:tc>
          <w:tcPr>
            <w:tcW w:w="3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da-DK"/>
              </w:rPr>
              <w:t>N classification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</w:tr>
      <w:tr w:rsidR="006B2578" w:rsidRPr="006B2578" w:rsidTr="006B2578">
        <w:trPr>
          <w:trHeight w:val="220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N0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236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54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1 (ref.)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</w:tr>
      <w:tr w:rsidR="006B2578" w:rsidRPr="006B2578" w:rsidTr="006B2578">
        <w:trPr>
          <w:trHeight w:val="220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N+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28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14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A96BCC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A96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2.5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A96BCC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A96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(1.4-4.5)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</w:tr>
      <w:tr w:rsidR="006B2578" w:rsidRPr="006B2578" w:rsidTr="006B2578">
        <w:trPr>
          <w:trHeight w:val="220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NX / N.E.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</w:tr>
      <w:tr w:rsidR="006B2578" w:rsidRPr="006B2578" w:rsidTr="006B2578">
        <w:trPr>
          <w:trHeight w:val="220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da-DK"/>
              </w:rPr>
              <w:t>Stage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</w:tr>
      <w:tr w:rsidR="006B2578" w:rsidRPr="006B2578" w:rsidTr="006B2578">
        <w:trPr>
          <w:trHeight w:val="220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I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54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1 (ref.)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1 (ref.)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</w:tr>
      <w:tr w:rsidR="006B2578" w:rsidRPr="006B2578" w:rsidTr="006B2578">
        <w:trPr>
          <w:trHeight w:val="220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II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43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2.7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(0.82-9.1)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2.7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(0.8</w:t>
            </w:r>
            <w:r w:rsidR="00324E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0</w:t>
            </w: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-</w:t>
            </w:r>
            <w:r w:rsidR="00324E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8</w:t>
            </w: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.</w:t>
            </w:r>
            <w:r w:rsidR="00324E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8</w:t>
            </w: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)</w:t>
            </w:r>
          </w:p>
        </w:tc>
      </w:tr>
      <w:tr w:rsidR="006B2578" w:rsidRPr="006B2578" w:rsidTr="006B2578">
        <w:trPr>
          <w:trHeight w:val="220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III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35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12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A96BCC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A96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5.9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A96BCC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A96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(1.9-18)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A96BCC" w:rsidRDefault="00324E60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4</w:t>
            </w:r>
            <w:r w:rsidR="006B2578" w:rsidRPr="00A96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A96BCC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A96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(1.6-16)</w:t>
            </w:r>
          </w:p>
        </w:tc>
      </w:tr>
      <w:tr w:rsidR="006B2578" w:rsidRPr="006B2578" w:rsidTr="006B2578">
        <w:trPr>
          <w:trHeight w:val="220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IV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130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44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A96BCC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A96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5.6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A96BCC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A96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(2.0-16)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A96BCC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A96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4.2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A96BCC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A96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(1.</w:t>
            </w:r>
            <w:r w:rsidR="00324E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5</w:t>
            </w:r>
            <w:r w:rsidRPr="00A96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-12)</w:t>
            </w:r>
          </w:p>
        </w:tc>
      </w:tr>
      <w:tr w:rsidR="006B2578" w:rsidRPr="006B2578" w:rsidTr="006B2578">
        <w:trPr>
          <w:trHeight w:val="220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N.E.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</w:tr>
      <w:tr w:rsidR="006B2578" w:rsidRPr="006B2578" w:rsidTr="006B2578">
        <w:trPr>
          <w:trHeight w:val="220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da-DK"/>
              </w:rPr>
              <w:t>Tumo</w:t>
            </w:r>
            <w:r w:rsidR="00B92F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da-DK"/>
              </w:rPr>
              <w:t>u</w:t>
            </w:r>
            <w:r w:rsidRPr="006B257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da-DK"/>
              </w:rPr>
              <w:t>r site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</w:tr>
      <w:tr w:rsidR="006B2578" w:rsidRPr="006B2578" w:rsidTr="006B2578">
        <w:trPr>
          <w:trHeight w:val="220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Nasal cavity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177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33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1 (ref.)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1 (ref.)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da-DK"/>
              </w:rPr>
              <w:t> </w:t>
            </w:r>
          </w:p>
        </w:tc>
      </w:tr>
      <w:tr w:rsidR="006B2578" w:rsidRPr="006B2578" w:rsidTr="006B2578">
        <w:trPr>
          <w:trHeight w:val="220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Sinus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87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35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A96BCC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A96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2.7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A96BCC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A96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(1.7-4.3)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A96BCC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A96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2.</w:t>
            </w:r>
            <w:r w:rsidR="00324E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A96BCC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A96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(1.</w:t>
            </w:r>
            <w:r w:rsidR="00324E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2</w:t>
            </w:r>
            <w:r w:rsidRPr="00A96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-3.</w:t>
            </w:r>
            <w:r w:rsidR="00324E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6</w:t>
            </w:r>
            <w:r w:rsidRPr="00A96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)</w:t>
            </w:r>
          </w:p>
        </w:tc>
      </w:tr>
      <w:tr w:rsidR="006B2578" w:rsidRPr="006B2578" w:rsidTr="006B2578">
        <w:trPr>
          <w:trHeight w:val="220"/>
        </w:trPr>
        <w:tc>
          <w:tcPr>
            <w:tcW w:w="3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da-DK"/>
              </w:rPr>
              <w:t>Histopathology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</w:tr>
      <w:tr w:rsidR="006B2578" w:rsidRPr="006B2578" w:rsidTr="006B2578">
        <w:trPr>
          <w:trHeight w:val="220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Squamous cell carcinoma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154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38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1 (ref.)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1 (ref.)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</w:tr>
      <w:tr w:rsidR="006B2578" w:rsidRPr="006B2578" w:rsidTr="006B2578">
        <w:trPr>
          <w:trHeight w:val="220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Adenocarcinoma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47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11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0.86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(0.44-1.7)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1.3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(0.6</w:t>
            </w:r>
            <w:r w:rsidR="00324E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0</w:t>
            </w: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-2.</w:t>
            </w:r>
            <w:r w:rsidR="00324E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7</w:t>
            </w: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)</w:t>
            </w:r>
          </w:p>
        </w:tc>
      </w:tr>
      <w:tr w:rsidR="006B2578" w:rsidRPr="006B2578" w:rsidTr="006B2578">
        <w:trPr>
          <w:trHeight w:val="220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Other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63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19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1.1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(0.65-1.9)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1.</w:t>
            </w:r>
            <w:r w:rsidR="00324E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(0.7</w:t>
            </w:r>
            <w:r w:rsidR="00324E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7</w:t>
            </w: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-2.</w:t>
            </w:r>
            <w:r w:rsidR="00324E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4</w:t>
            </w: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)</w:t>
            </w:r>
          </w:p>
        </w:tc>
      </w:tr>
      <w:tr w:rsidR="006B2578" w:rsidRPr="006B2578" w:rsidTr="006B2578">
        <w:trPr>
          <w:trHeight w:val="220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da-DK"/>
              </w:rPr>
              <w:t>Treatment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</w:tr>
      <w:tr w:rsidR="006B2578" w:rsidRPr="006B2578" w:rsidTr="006B2578">
        <w:trPr>
          <w:trHeight w:val="220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Surgery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58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1 (ref.)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1 (ref.)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da-DK"/>
              </w:rPr>
              <w:t> </w:t>
            </w:r>
          </w:p>
        </w:tc>
      </w:tr>
      <w:tr w:rsidR="006B2578" w:rsidRPr="006B2578" w:rsidTr="006B2578">
        <w:trPr>
          <w:trHeight w:val="220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(Chemo)radiotherapy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82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29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A96BCC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A96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2.1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A96BCC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A96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(1.0-4.3)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1.</w:t>
            </w:r>
            <w:r w:rsidR="00324E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(0.</w:t>
            </w:r>
            <w:r w:rsidR="00324E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62</w:t>
            </w: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-</w:t>
            </w:r>
            <w:r w:rsidR="00324E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3</w:t>
            </w: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.</w:t>
            </w:r>
            <w:r w:rsidR="00324E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1</w:t>
            </w: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)</w:t>
            </w:r>
          </w:p>
        </w:tc>
      </w:tr>
      <w:tr w:rsidR="006B2578" w:rsidRPr="006B2578" w:rsidTr="006B2578">
        <w:trPr>
          <w:trHeight w:val="220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Surgery + (chemo)radiotherapy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124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29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1.2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(0.60-2.5)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0.7</w:t>
            </w:r>
            <w:r w:rsidR="00324E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(0.3</w:t>
            </w:r>
            <w:r w:rsidR="00324E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6</w:t>
            </w: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-1.6)</w:t>
            </w:r>
          </w:p>
        </w:tc>
      </w:tr>
      <w:tr w:rsidR="006B2578" w:rsidRPr="006B2578" w:rsidTr="006B2578">
        <w:trPr>
          <w:trHeight w:val="220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da-DK"/>
              </w:rPr>
              <w:t>Guidelines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</w:tr>
      <w:tr w:rsidR="006B2578" w:rsidRPr="006B2578" w:rsidTr="006B2578">
        <w:trPr>
          <w:trHeight w:val="220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Compliance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59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1 (ref.)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1 (ref.)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</w:tr>
      <w:tr w:rsidR="006B2578" w:rsidRPr="006B2578" w:rsidTr="006B2578">
        <w:trPr>
          <w:trHeight w:val="220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Non-compliance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1.9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(0.93-3.8)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1.</w:t>
            </w:r>
            <w:r w:rsidR="004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6B25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(0.7</w:t>
            </w:r>
            <w:r w:rsidR="004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5</w:t>
            </w: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-3.</w:t>
            </w:r>
            <w:r w:rsidR="004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4</w:t>
            </w: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da-DK"/>
              </w:rPr>
              <w:t>)</w:t>
            </w:r>
          </w:p>
        </w:tc>
      </w:tr>
      <w:tr w:rsidR="006B2578" w:rsidRPr="004E72F3" w:rsidTr="006B2578">
        <w:trPr>
          <w:trHeight w:val="220"/>
        </w:trPr>
        <w:tc>
          <w:tcPr>
            <w:tcW w:w="963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2578" w:rsidRPr="006B2578" w:rsidRDefault="006B2578" w:rsidP="00F141B9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 w:eastAsia="da-DK"/>
              </w:rPr>
            </w:pPr>
            <w:r w:rsidRPr="006B25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 w:eastAsia="da-DK"/>
              </w:rPr>
              <w:t>N.E.: Not evaluable. ref.: Reference.</w:t>
            </w:r>
          </w:p>
        </w:tc>
      </w:tr>
    </w:tbl>
    <w:p w:rsidR="00A86E78" w:rsidRDefault="00F141B9">
      <w:pPr>
        <w:rPr>
          <w:lang w:val="en-GB"/>
        </w:rPr>
      </w:pPr>
    </w:p>
    <w:p w:rsidR="003C0E68" w:rsidRDefault="003C0E68">
      <w:pPr>
        <w:rPr>
          <w:lang w:val="en-GB"/>
        </w:rPr>
      </w:pPr>
    </w:p>
    <w:p w:rsidR="003C0E68" w:rsidRDefault="003C0E68">
      <w:pPr>
        <w:rPr>
          <w:lang w:val="en-GB"/>
        </w:rPr>
      </w:pPr>
    </w:p>
    <w:p w:rsidR="003C0E68" w:rsidRPr="006B2578" w:rsidRDefault="003C0E68">
      <w:pPr>
        <w:rPr>
          <w:lang w:val="en-GB"/>
        </w:rPr>
      </w:pPr>
    </w:p>
    <w:sectPr w:rsidR="003C0E68" w:rsidRPr="006B2578" w:rsidSect="00470E25">
      <w:pgSz w:w="11900" w:h="16840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578"/>
    <w:rsid w:val="000307DC"/>
    <w:rsid w:val="00043DD5"/>
    <w:rsid w:val="000A47D6"/>
    <w:rsid w:val="00324E60"/>
    <w:rsid w:val="003C0E68"/>
    <w:rsid w:val="00470E25"/>
    <w:rsid w:val="004E72F3"/>
    <w:rsid w:val="00514008"/>
    <w:rsid w:val="005821E3"/>
    <w:rsid w:val="006217B1"/>
    <w:rsid w:val="0065510C"/>
    <w:rsid w:val="006B2578"/>
    <w:rsid w:val="007F7B50"/>
    <w:rsid w:val="00894BE3"/>
    <w:rsid w:val="00A55224"/>
    <w:rsid w:val="00A96BCC"/>
    <w:rsid w:val="00B01A4E"/>
    <w:rsid w:val="00B92F76"/>
    <w:rsid w:val="00C770DC"/>
    <w:rsid w:val="00F14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C068622"/>
  <w14:defaultImageDpi w14:val="32767"/>
  <w15:chartTrackingRefBased/>
  <w15:docId w15:val="{E654DD1C-A66B-7046-81B6-23737959B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a-DK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642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321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Mads Filtenborg</dc:creator>
  <cp:keywords/>
  <dc:description/>
  <cp:lastModifiedBy>Mads Filtenborg</cp:lastModifiedBy>
  <cp:revision>4</cp:revision>
  <cp:lastPrinted>2020-12-06T19:26:00Z</cp:lastPrinted>
  <dcterms:created xsi:type="dcterms:W3CDTF">2020-12-22T21:23:00Z</dcterms:created>
  <dcterms:modified xsi:type="dcterms:W3CDTF">2020-12-28T16:10:00Z</dcterms:modified>
</cp:coreProperties>
</file>